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Cs/>
          <w:sz w:val="24"/>
        </w:rPr>
        <w:t>所有受邀演讲嘉宾均可获得加盖主办单位公章的</w:t>
      </w:r>
      <w:r>
        <w:rPr>
          <w:rFonts w:hint="eastAsia" w:ascii="宋体" w:hAnsi="宋体"/>
          <w:bCs/>
          <w:sz w:val="24"/>
          <w:lang w:eastAsia="zh-CN"/>
        </w:rPr>
        <w:t>会议</w:t>
      </w:r>
      <w:r>
        <w:rPr>
          <w:rFonts w:hint="default" w:ascii="宋体" w:hAnsi="宋体"/>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12日—15日，12日全天报到，13日—14日会场报告，15日参考</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（酒店待定）</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bookmarkStart w:id="0" w:name="_GoBack"/>
      <w:bookmarkEnd w:id="0"/>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sz w:val="24"/>
          <w:szCs w:val="24"/>
        </w:rPr>
        <w:t>新兴铸管股份有限公司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深圳市供排水行业协会</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深圳清时捷科技有限公司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上海铂尔怡环境技术股份有限公司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中国市政工程东北设计研究总院有限公司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天津海之凰科技有限公司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佛山市金凯地过滤设备有限公司</w:t>
      </w:r>
    </w:p>
    <w:p>
      <w:pPr>
        <w:spacing w:beforeAutospacing="0" w:afterAutospacing="0" w:line="480" w:lineRule="auto"/>
        <w:rPr>
          <w:rFonts w:hint="eastAsia" w:ascii="宋体" w:hAnsi="宋体" w:eastAsia="宋体" w:cs="宋体"/>
        </w:rPr>
      </w:pPr>
      <w:r>
        <w:rPr>
          <w:rFonts w:hint="eastAsia" w:ascii="宋体" w:hAnsi="宋体" w:eastAsia="宋体" w:cs="宋体"/>
        </w:rPr>
        <w:t>山东省邦皓环保科技有限公司</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lang w:val="en-US" w:eastAsia="zh-CN"/>
        </w:rPr>
        <w:t>青岛邦皓环境科技有限公司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r>
        <w:rPr>
          <w:rFonts w:hint="default" w:ascii="宋体" w:hAnsi="宋体" w:eastAsia="宋体"/>
          <w:b w:val="0"/>
          <w:i w:val="0"/>
          <w:color w:val="333333"/>
          <w:sz w:val="24"/>
          <w:shd w:val="clear" w:color="auto" w:fill="FFFFFF"/>
          <w:lang w:eastAsia="zh-CN"/>
        </w:rPr>
        <w:t>2021年4月8日</w:t>
      </w:r>
      <w:r>
        <w:rPr>
          <w:rFonts w:hint="eastAsia" w:ascii="宋体" w:hAnsi="宋体"/>
          <w:b w:val="0"/>
          <w:i w:val="0"/>
          <w:color w:val="333333"/>
          <w:sz w:val="24"/>
          <w:shd w:val="clear" w:color="auto" w:fill="FFFFFF"/>
          <w:lang w:eastAsia="zh-CN"/>
        </w:rPr>
        <w:t>，</w:t>
      </w:r>
      <w:r>
        <w:rPr>
          <w:rFonts w:hint="eastAsia" w:ascii="宋体" w:hAnsi="宋体" w:cs="宋体"/>
          <w:sz w:val="24"/>
          <w:lang w:eastAsia="zh-CN"/>
        </w:rPr>
        <w:t>国务院办公厅印发了关于加强城市内涝治理的实施意见（国办发〔2021〕11号），明确要求各级政府</w:t>
      </w:r>
      <w:r>
        <w:rPr>
          <w:rFonts w:hint="default" w:ascii="楷体" w:hAnsi="楷体" w:eastAsia="楷体"/>
          <w:b w:val="0"/>
          <w:i w:val="0"/>
          <w:color w:val="333333"/>
          <w:sz w:val="24"/>
          <w:shd w:val="clear" w:color="auto" w:fill="FFFFFF"/>
          <w:lang w:eastAsia="zh-CN"/>
        </w:rPr>
        <w:t>实施管网和泵站建设与改造。</w:t>
      </w:r>
      <w:r>
        <w:rPr>
          <w:rFonts w:hint="default" w:ascii="宋体" w:hAnsi="宋体" w:eastAsia="宋体"/>
          <w:b w:val="0"/>
          <w:i w:val="0"/>
          <w:color w:val="333333"/>
          <w:sz w:val="24"/>
          <w:shd w:val="clear" w:color="auto" w:fill="FFFFFF"/>
          <w:lang w:eastAsia="zh-CN"/>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Autospacing="0" w:afterAutospacing="0" w:line="480" w:lineRule="auto"/>
        <w:ind w:firstLine="480" w:firstLineChars="200"/>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w:t>
      </w:r>
      <w:r>
        <w:rPr>
          <w:rFonts w:hint="eastAsia" w:ascii="宋体" w:hAnsi="宋体" w:cs="宋体"/>
          <w:sz w:val="24"/>
          <w:lang w:eastAsia="zh-CN"/>
        </w:rPr>
        <w:t>，</w:t>
      </w:r>
      <w:r>
        <w:rPr>
          <w:rFonts w:hint="eastAsia" w:ascii="宋体" w:hAnsi="宋体" w:eastAsia="宋体" w:cs="宋体"/>
          <w:sz w:val="24"/>
        </w:rPr>
        <w:t>《关于加强城市地下管线建设管理的指导意见》</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w:t>
      </w:r>
      <w:r>
        <w:rPr>
          <w:rFonts w:hint="eastAsia" w:ascii="宋体" w:hAnsi="宋体" w:eastAsia="宋体" w:cs="宋体"/>
          <w:sz w:val="24"/>
        </w:rPr>
        <w:t>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推介排水系统新技术、新工法、新设备的的</w:t>
      </w:r>
      <w:r>
        <w:rPr>
          <w:rFonts w:hint="eastAsia" w:ascii="宋体" w:hAnsi="宋体" w:cs="宋体"/>
          <w:sz w:val="24"/>
          <w:lang w:eastAsia="zh-CN"/>
        </w:rPr>
        <w:t>交流合作、共创共享的</w:t>
      </w:r>
      <w:r>
        <w:rPr>
          <w:rFonts w:hint="eastAsia" w:ascii="宋体" w:hAnsi="宋体" w:eastAsia="宋体" w:cs="宋体"/>
          <w:sz w:val="24"/>
        </w:rPr>
        <w:t>平台。 </w:t>
      </w:r>
    </w:p>
    <w:p>
      <w:pPr>
        <w:spacing w:beforeAutospacing="0" w:afterAutospacing="0" w:line="480" w:lineRule="auto"/>
        <w:rPr>
          <w:rFonts w:hint="eastAsia" w:ascii="宋体" w:hAnsi="宋体" w:eastAsia="宋体" w:cs="宋体"/>
          <w:b/>
          <w:bCs/>
          <w:sz w:val="24"/>
        </w:rPr>
      </w:pP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cs="宋体"/>
          <w:bCs/>
          <w:kern w:val="36"/>
          <w:sz w:val="24"/>
          <w:szCs w:val="24"/>
          <w:lang w:val="en-US" w:eastAsia="zh-CN"/>
        </w:rPr>
        <w:t xml:space="preserve">    </w:t>
      </w: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spacing w:beforeAutospacing="0" w:afterAutospacing="0" w:line="480" w:lineRule="auto"/>
        <w:rPr>
          <w:rFonts w:hint="eastAsia" w:ascii="宋体" w:hAnsi="宋体" w:eastAsia="宋体" w:cs="宋体"/>
          <w:sz w:val="24"/>
          <w:szCs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Cs w:val="21"/>
          <w:lang w:eastAsia="zh-CN"/>
        </w:rPr>
      </w:pPr>
      <w:r>
        <w:rPr>
          <w:rFonts w:hint="eastAsia" w:ascii="宋体" w:hAnsi="宋体" w:cs="宋体"/>
          <w:b/>
          <w:bCs/>
          <w:szCs w:val="21"/>
          <w:lang w:eastAsia="zh-CN"/>
        </w:rPr>
        <w:t>二、</w:t>
      </w: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cs="宋体"/>
          <w:b/>
          <w:bCs/>
          <w:szCs w:val="21"/>
          <w:lang w:eastAsia="zh-CN"/>
        </w:rPr>
      </w:pP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w:t>
      </w:r>
      <w:r>
        <w:rPr>
          <w:rFonts w:hint="eastAsia" w:ascii="宋体" w:hAnsi="宋体"/>
          <w:sz w:val="24"/>
          <w:lang w:eastAsia="zh-CN"/>
        </w:rPr>
        <w:t>、巡检机器人</w:t>
      </w:r>
      <w:r>
        <w:rPr>
          <w:rFonts w:hint="default" w:ascii="宋体" w:hAnsi="宋体" w:eastAsia="宋体"/>
          <w:sz w:val="24"/>
          <w:lang w:eastAsia="zh-CN"/>
        </w:rPr>
        <w:t>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w:t>
      </w:r>
      <w:r>
        <w:rPr>
          <w:rFonts w:hint="eastAsia" w:ascii="宋体" w:hAnsi="宋体"/>
          <w:sz w:val="24"/>
          <w:lang w:eastAsia="zh-CN"/>
        </w:rPr>
        <w:t>（提标改造）</w:t>
      </w:r>
      <w:r>
        <w:rPr>
          <w:rFonts w:hint="default" w:ascii="宋体" w:hAnsi="宋体" w:eastAsia="宋体"/>
          <w:sz w:val="24"/>
          <w:lang w:eastAsia="zh-CN"/>
        </w:rPr>
        <w:t>/运行/管理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eastAsia" w:ascii="宋体" w:hAnsi="宋体" w:cs="宋体"/>
          <w:sz w:val="24"/>
          <w:lang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（23）</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default" w:ascii="宋体" w:hAnsi="宋体" w:eastAsia="宋体"/>
          <w:color w:val="000000"/>
          <w:sz w:val="24"/>
          <w:lang w:val="en-US" w:eastAsia="zh-CN"/>
        </w:rPr>
      </w:pPr>
    </w:p>
    <w:p>
      <w:pPr>
        <w:autoSpaceDN w:val="0"/>
        <w:spacing w:line="360" w:lineRule="atLeast"/>
        <w:rPr>
          <w:rFonts w:hint="eastAsia" w:ascii="宋体" w:hAnsi="宋体" w:cs="宋体"/>
          <w:sz w:val="24"/>
          <w:lang w:val="en-US" w:eastAsia="zh-CN"/>
        </w:rPr>
      </w:pPr>
      <w:r>
        <w:rPr>
          <w:rFonts w:hint="eastAsia" w:ascii="宋体" w:hAnsi="宋体" w:cs="宋体"/>
          <w:sz w:val="24"/>
          <w:lang w:val="en-US" w:eastAsia="zh-CN"/>
        </w:rPr>
        <w:t xml:space="preserve"> </w:t>
      </w: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cs="宋体"/>
          <w:b w:val="0"/>
          <w:bCs w:val="0"/>
          <w:sz w:val="24"/>
          <w:lang w:val="en-US" w:eastAsia="zh-CN"/>
        </w:rPr>
        <w:t>8、</w:t>
      </w: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default" w:ascii="宋体" w:hAnsi="宋体"/>
          <w:sz w:val="24"/>
        </w:rPr>
      </w:pPr>
      <w:r>
        <w:rPr>
          <w:rFonts w:hint="eastAsia" w:ascii="宋体" w:hAnsi="宋体" w:cs="宋体"/>
          <w:b/>
          <w:bCs/>
          <w:szCs w:val="21"/>
          <w:lang w:val="en-US" w:eastAsia="zh-CN"/>
        </w:rPr>
        <w:t>9、</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2021-05-27T03:27:20Z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