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40" w:lineRule="exact"/>
        <w:jc w:val="center"/>
        <w:rPr>
          <w:rFonts w:ascii="仿宋" w:hAnsi="仿宋" w:eastAsia="仿宋" w:cs="宋体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海口白沙门污水处理厂（二期）</w:t>
      </w:r>
    </w:p>
    <w:p>
      <w:pPr>
        <w:spacing w:line="440" w:lineRule="exact"/>
        <w:jc w:val="center"/>
        <w:rPr>
          <w:rFonts w:ascii="仿宋" w:hAnsi="仿宋" w:eastAsia="仿宋" w:cs="宋体"/>
          <w:b/>
          <w:sz w:val="32"/>
          <w:szCs w:val="32"/>
        </w:rPr>
      </w:pPr>
    </w:p>
    <w:p>
      <w:pPr>
        <w:spacing w:line="440" w:lineRule="exact"/>
        <w:rPr>
          <w:rFonts w:ascii="仿宋" w:hAnsi="仿宋" w:eastAsia="仿宋" w:cs="宋体"/>
          <w:b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项目简介</w:t>
      </w:r>
    </w:p>
    <w:p>
      <w:pPr>
        <w:spacing w:line="440" w:lineRule="exac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项目地点：海南省海口市美兰区海甸六西路10号,白沙门公园西侧</w:t>
      </w:r>
    </w:p>
    <w:p>
      <w:pPr>
        <w:spacing w:line="440" w:lineRule="exac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占地面积：103亩</w:t>
      </w:r>
    </w:p>
    <w:p>
      <w:pPr>
        <w:spacing w:line="440" w:lineRule="exac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设计处理规模：</w:t>
      </w:r>
      <w:r>
        <w:rPr>
          <w:rFonts w:ascii="仿宋" w:hAnsi="仿宋" w:eastAsia="仿宋" w:cs="宋体"/>
          <w:sz w:val="28"/>
          <w:szCs w:val="28"/>
        </w:rPr>
        <w:t>20</w:t>
      </w:r>
      <w:r>
        <w:rPr>
          <w:rFonts w:hint="eastAsia" w:ascii="仿宋" w:hAnsi="仿宋" w:eastAsia="仿宋" w:cs="宋体"/>
          <w:sz w:val="28"/>
          <w:szCs w:val="28"/>
        </w:rPr>
        <w:t>万吨/天</w:t>
      </w:r>
    </w:p>
    <w:p>
      <w:pPr>
        <w:spacing w:line="440" w:lineRule="exac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实际处理规模：2</w:t>
      </w:r>
      <w:r>
        <w:rPr>
          <w:rFonts w:ascii="仿宋" w:hAnsi="仿宋" w:eastAsia="仿宋" w:cs="宋体"/>
          <w:sz w:val="28"/>
          <w:szCs w:val="28"/>
        </w:rPr>
        <w:t>4</w:t>
      </w:r>
      <w:r>
        <w:rPr>
          <w:rFonts w:hint="eastAsia" w:ascii="仿宋" w:hAnsi="仿宋" w:eastAsia="仿宋" w:cs="宋体"/>
          <w:sz w:val="28"/>
          <w:szCs w:val="28"/>
        </w:rPr>
        <w:t>.</w:t>
      </w:r>
      <w:r>
        <w:rPr>
          <w:rFonts w:ascii="仿宋" w:hAnsi="仿宋" w:eastAsia="仿宋" w:cs="宋体"/>
          <w:sz w:val="28"/>
          <w:szCs w:val="28"/>
        </w:rPr>
        <w:t>5</w:t>
      </w:r>
      <w:r>
        <w:rPr>
          <w:rFonts w:hint="eastAsia" w:ascii="仿宋" w:hAnsi="仿宋" w:eastAsia="仿宋" w:cs="宋体"/>
          <w:sz w:val="28"/>
          <w:szCs w:val="28"/>
        </w:rPr>
        <w:t>万吨/天</w:t>
      </w:r>
    </w:p>
    <w:p>
      <w:pPr>
        <w:spacing w:line="440" w:lineRule="exact"/>
        <w:rPr>
          <w:rFonts w:ascii="仿宋" w:hAnsi="仿宋" w:eastAsia="仿宋" w:cs="宋体"/>
          <w:sz w:val="28"/>
          <w:szCs w:val="28"/>
        </w:rPr>
      </w:pPr>
      <w:bookmarkStart w:id="0" w:name="_GoBack"/>
      <w:bookmarkEnd w:id="0"/>
    </w:p>
    <w:p>
      <w:pPr>
        <w:ind w:firstLine="562" w:firstLineChars="200"/>
        <w:rPr>
          <w:rFonts w:ascii="仿宋_GB2312" w:hAnsi="宋体" w:eastAsia="仿宋_GB2312" w:cs="仿宋_GB2312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28"/>
          <w:szCs w:val="28"/>
        </w:rPr>
        <w:t>一、基本情况</w:t>
      </w:r>
    </w:p>
    <w:p>
      <w:pPr>
        <w:ind w:firstLine="560" w:firstLineChars="200"/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海口市白沙门污水处理厂扩建项目(以下简称二期项目)是海南省“十一五”规划节能减排工作重点建设工程，占地面积103亩，服务人口约113万人。设计规模为日处理污水量20万吨，总投资约3.48亿元，采用A2/O工艺，出水水质达到国家城镇污水处理厂一级B类排放标准，尾水通过1190米长的排海管道排入深海。项目主体工程于2008年12月底开工，于2009年12月29日通水试运行,2010年4月3日开始正式商运。</w:t>
      </w:r>
    </w:p>
    <w:p>
      <w:pPr>
        <w:ind w:firstLine="560" w:firstLineChars="200"/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白沙门污水处理厂(二期)提标改造工程项目(以下简称“提标项目”)是中央环保督察要求整改的项目，设计规模为日处理污水量20万吨，总投资约8853.20万元，采用“改良AAO+二沉池+加砂高效沉淀池+紫外消毒”工艺，出水水质由原来的一级B标准提高到一级A标准。项目于2017年10月获得立项批复,2018年8月获得初步设计及概算批复,9月开始动工建设,2019年12月20日通过环保验收转商运。</w:t>
      </w:r>
    </w:p>
    <w:p>
      <w:pPr>
        <w:ind w:firstLine="560" w:firstLineChars="200"/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白沙门污水处理厂(二期)除臭升级改造项目总投资6659万元，采用生物滴滤除臭工艺(化学洗涤+生物滴滤池+化学炭除臭)，厂内废气经处理后排放达到《城镇污水处理厂污染物排放标准》一级标准。项目于2019年7月1日开工,2020年7月30日完工。</w:t>
      </w:r>
    </w:p>
    <w:p>
      <w:pPr>
        <w:ind w:firstLine="560" w:firstLineChars="200"/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</w:pPr>
      <w:r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  <w:t>本污水处理厂收水范围为海口市中心组团片区，中心组团人口规模113万人，</w:t>
      </w: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市政污水管网通过海甸泵站向污水厂送水规模约50万吨/日，海甸片区及新埠岛片区由市政管网直接进入污水厂的污水约5万吨/日，</w:t>
      </w:r>
      <w:r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  <w:t>由白沙门污水处理厂一期及二期共同接收处理，污水处理厂一期的处理规模为30万m3/d，污水处理厂二期处理规模为20万m3/d。两厂的收水范围一致，污水处理流量主要通过各厂进口处的水量计量仪控制。白沙门污水处理厂（二期）现状处理水量</w:t>
      </w: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约24</w:t>
      </w:r>
      <w:r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  <w:t>.5万m3/d，</w:t>
      </w: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超</w:t>
      </w:r>
      <w:r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  <w:t>负荷</w:t>
      </w: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运行</w:t>
      </w:r>
      <w:r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  <w:t>状态。</w:t>
      </w:r>
    </w:p>
    <w:p>
      <w:pPr>
        <w:ind w:firstLine="562" w:firstLineChars="200"/>
        <w:rPr>
          <w:rFonts w:ascii="仿宋_GB2312" w:hAnsi="宋体" w:eastAsia="仿宋_GB2312" w:cs="仿宋_GB2312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28"/>
          <w:szCs w:val="28"/>
        </w:rPr>
        <w:t>二、</w:t>
      </w:r>
      <w:r>
        <w:rPr>
          <w:rFonts w:hint="eastAsia" w:ascii="仿宋_GB2312" w:hAnsi="宋体" w:eastAsia="仿宋_GB2312" w:cs="仿宋_GB2312"/>
          <w:b/>
          <w:color w:val="000000"/>
          <w:kern w:val="0"/>
          <w:sz w:val="28"/>
          <w:szCs w:val="28"/>
          <w:lang w:val="zh-TW"/>
        </w:rPr>
        <w:t>运营管理情况</w:t>
      </w:r>
    </w:p>
    <w:p>
      <w:pPr>
        <w:ind w:firstLine="562" w:firstLineChars="200"/>
        <w:rPr>
          <w:rFonts w:ascii="Calibri" w:hAnsi="Calibri" w:eastAsia="宋体" w:cs="Times New Roman"/>
          <w:b/>
          <w:sz w:val="28"/>
          <w:szCs w:val="28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1.水量情况</w:t>
      </w:r>
    </w:p>
    <w:p>
      <w:pPr>
        <w:ind w:firstLine="560" w:firstLineChars="200"/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color w:val="000000"/>
          <w:kern w:val="0"/>
          <w:sz w:val="28"/>
          <w:szCs w:val="28"/>
        </w:rPr>
        <w:t>2022年白沙门污水处理厂（二期）进水量为9675.42万吨，出水量为8765.45万吨，日均处理水量为24.0万吨/天，设计规模为20万吨/天，平均运行负荷率120%。</w:t>
      </w:r>
    </w:p>
    <w:p>
      <w:pPr>
        <w:ind w:firstLine="560" w:firstLineChars="200"/>
        <w:rPr>
          <w:rFonts w:ascii="仿宋_GB2312" w:hAnsi="宋体" w:eastAsia="仿宋_GB2312" w:cs="仿宋_GB2312"/>
          <w:bCs/>
          <w:color w:val="000000"/>
          <w:kern w:val="0"/>
          <w:sz w:val="28"/>
          <w:szCs w:val="28"/>
        </w:rPr>
      </w:pPr>
    </w:p>
    <w:tbl>
      <w:tblPr>
        <w:tblpPr w:leftFromText="180" w:rightFromText="180" w:vertAnchor="text" w:horzAnchor="page" w:tblpX="1153" w:tblpY="793"/>
        <w:tblOverlap w:val="never"/>
        <w:tblW w:w="102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864"/>
        <w:gridCol w:w="756"/>
        <w:gridCol w:w="600"/>
        <w:gridCol w:w="720"/>
        <w:gridCol w:w="684"/>
        <w:gridCol w:w="804"/>
        <w:gridCol w:w="768"/>
        <w:gridCol w:w="684"/>
        <w:gridCol w:w="744"/>
        <w:gridCol w:w="720"/>
        <w:gridCol w:w="684"/>
        <w:gridCol w:w="696"/>
        <w:gridCol w:w="696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672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月份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11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合计/平均值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662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水量（万吨）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/>
              </w:rPr>
              <w:t>681.4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611.6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753.5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740.2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808.4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739.8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762.7 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733.4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778.0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819.3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776.8 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560.4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730.5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672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日均处理水量（万吨/天）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22.0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21.8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24.3 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24.7 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26.1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24.7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24.6 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23.7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25.9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26.4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25.9 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18.1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24.0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732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运行负荷率（%）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109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122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123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130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123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123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118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130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132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129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90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120</w:t>
            </w:r>
          </w:p>
        </w:tc>
      </w:tr>
    </w:tbl>
    <w:p>
      <w:pPr>
        <w:spacing w:line="240" w:lineRule="atLeast"/>
        <w:jc w:val="center"/>
        <w:rPr>
          <w:rFonts w:ascii="Calibri" w:hAnsi="Calibri" w:eastAsia="宋体" w:cs="Times New Roman"/>
          <w:b/>
          <w:bCs/>
          <w:sz w:val="24"/>
          <w:szCs w:val="24"/>
        </w:rPr>
      </w:pPr>
      <w:r>
        <w:rPr>
          <w:rFonts w:hint="eastAsia" w:ascii="Calibri" w:hAnsi="Calibri" w:eastAsia="宋体" w:cs="Times New Roman"/>
          <w:b/>
          <w:bCs/>
          <w:sz w:val="24"/>
          <w:szCs w:val="24"/>
        </w:rPr>
        <w:t>2022年1-12月水量统计表</w:t>
      </w:r>
    </w:p>
    <w:p>
      <w:pPr>
        <w:spacing w:line="240" w:lineRule="atLeast"/>
        <w:ind w:firstLine="562" w:firstLineChars="200"/>
        <w:rPr>
          <w:rFonts w:ascii="Calibri" w:hAnsi="Calibri" w:eastAsia="宋体" w:cs="Times New Roman"/>
          <w:b/>
          <w:sz w:val="28"/>
          <w:szCs w:val="28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2.水质情况</w:t>
      </w:r>
    </w:p>
    <w:p>
      <w:pPr>
        <w:ind w:firstLine="562" w:firstLineChars="200"/>
        <w:rPr>
          <w:rFonts w:ascii="Calibri" w:hAnsi="Calibri" w:eastAsia="宋体" w:cs="Times New Roman"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 xml:space="preserve"> </w:t>
      </w:r>
      <w:r>
        <w:rPr>
          <w:rFonts w:hint="eastAsia" w:ascii="Calibri" w:hAnsi="Calibri" w:eastAsia="宋体" w:cs="Times New Roman"/>
          <w:bCs/>
          <w:sz w:val="28"/>
          <w:szCs w:val="28"/>
        </w:rPr>
        <w:t>2022年1-12月白沙门厂（二期）出水水质达标率为100%，主要污染物浓度均值如下表：</w:t>
      </w:r>
    </w:p>
    <w:p>
      <w:pPr>
        <w:jc w:val="center"/>
        <w:rPr>
          <w:rFonts w:ascii="Calibri" w:hAnsi="Calibri" w:eastAsia="宋体" w:cs="Times New Roman"/>
          <w:sz w:val="24"/>
          <w:szCs w:val="24"/>
        </w:rPr>
      </w:pPr>
    </w:p>
    <w:p>
      <w:pPr>
        <w:jc w:val="center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b/>
          <w:bCs/>
          <w:sz w:val="24"/>
          <w:szCs w:val="24"/>
        </w:rPr>
        <w:t>2022年1-12月进、出水水质均值统计表</w:t>
      </w:r>
    </w:p>
    <w:tbl>
      <w:tblPr>
        <w:tblW w:w="92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253"/>
        <w:gridCol w:w="744"/>
        <w:gridCol w:w="720"/>
        <w:gridCol w:w="720"/>
        <w:gridCol w:w="652"/>
        <w:gridCol w:w="689"/>
        <w:gridCol w:w="651"/>
        <w:gridCol w:w="648"/>
        <w:gridCol w:w="672"/>
        <w:gridCol w:w="660"/>
        <w:gridCol w:w="624"/>
        <w:gridCol w:w="564"/>
        <w:gridCol w:w="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名称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BOD(mg/l)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COD(mg/l)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SS(mg/l)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NH</w:t>
            </w:r>
            <w:r>
              <w:rPr>
                <w:rFonts w:hint="eastAsia" w:ascii="宋体" w:hAnsi="宋体" w:eastAsia="宋体" w:cs="宋体"/>
                <w:kern w:val="0"/>
                <w:szCs w:val="21"/>
                <w:vertAlign w:val="subscript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-N (mg/l)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TN(mg/l)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TP(mg/l)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进水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出水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进水</w:t>
            </w:r>
          </w:p>
        </w:tc>
        <w:tc>
          <w:tcPr>
            <w:tcW w:w="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出水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进水</w:t>
            </w:r>
          </w:p>
        </w:tc>
        <w:tc>
          <w:tcPr>
            <w:tcW w:w="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出水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进水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出水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进水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出水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进水</w:t>
            </w: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白沙门污水处理厂（二期）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84.2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3.2 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172.1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17.0 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132.4 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4.2 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>18.8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1.5 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24.7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8.5 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3.0 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/>
              </w:rPr>
              <w:t xml:space="preserve">0.2 </w:t>
            </w:r>
          </w:p>
        </w:tc>
      </w:tr>
    </w:tbl>
    <w:p>
      <w:pPr>
        <w:rPr>
          <w:rFonts w:ascii="Times New Roman" w:hAnsi="Times New Roman" w:eastAsia="宋体" w:cs="Times New Roman"/>
          <w:bCs/>
          <w:color w:val="000000"/>
          <w:sz w:val="24"/>
          <w:szCs w:val="24"/>
          <w:lang/>
        </w:rPr>
      </w:pPr>
    </w:p>
    <w:p>
      <w:pPr>
        <w:spacing w:line="440" w:lineRule="exact"/>
        <w:rPr>
          <w:rFonts w:ascii="仿宋" w:hAnsi="仿宋" w:eastAsia="仿宋" w:cs="仿宋_GB2312"/>
          <w:sz w:val="28"/>
          <w:szCs w:val="28"/>
        </w:rPr>
      </w:pPr>
      <w:r>
        <w:rPr>
          <w:rFonts w:ascii="Calibri" w:hAnsi="Calibri" w:eastAsia="宋体"/>
          <w:kern w:val="2"/>
          <w:sz w:val="21"/>
          <w:szCs w:val="22"/>
          <w:lang w:val="en-US" w:eastAsia="zh-CN" w:bidi="ar-SA"/>
        </w:rPr>
        <w:pict>
          <v:shape id="图片 4" o:spid="_x0000_s1026" type="#_x0000_t75" style="position:absolute;left:0;margin-top:31.55pt;height:192.95pt;width:415.3pt;mso-position-horizontal:right;mso-position-horizontal-relative:margin;mso-wrap-distance-bottom:0pt;mso-wrap-distance-left:9pt;mso-wrap-distance-right:9pt;mso-wrap-distance-top:0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square"/>
          </v:shape>
        </w:pict>
      </w:r>
    </w:p>
    <w:p>
      <w:pPr>
        <w:spacing w:line="440" w:lineRule="exact"/>
        <w:rPr>
          <w:rFonts w:ascii="仿宋" w:hAnsi="仿宋" w:eastAsia="仿宋" w:cs="仿宋_GB2312"/>
          <w:sz w:val="28"/>
          <w:szCs w:val="28"/>
        </w:rPr>
      </w:pPr>
    </w:p>
    <w:p>
      <w:pPr>
        <w:spacing w:line="440" w:lineRule="exact"/>
        <w:rPr>
          <w:rFonts w:ascii="仿宋" w:hAnsi="仿宋" w:eastAsia="仿宋" w:cs="仿宋_GB2312"/>
          <w:sz w:val="28"/>
          <w:szCs w:val="28"/>
        </w:rPr>
      </w:pPr>
      <w:r>
        <w:rPr>
          <w:rFonts w:ascii="Calibri" w:hAnsi="Calibri" w:eastAsia="宋体"/>
          <w:kern w:val="2"/>
          <w:sz w:val="21"/>
          <w:szCs w:val="22"/>
          <w:lang w:val="en-US" w:eastAsia="zh-CN" w:bidi="ar-SA"/>
        </w:rPr>
        <w:pict>
          <v:shape id="图片 3" o:spid="_x0000_s1027" type="#_x0000_t75" style="position:absolute;left:0;margin-left:0.1pt;margin-top:0pt;height:615.45pt;width:352.5pt;mso-wrap-distance-bottom:0pt;mso-wrap-distance-left:9pt;mso-wrap-distance-right:9pt;mso-wrap-distance-top:0pt;rotation:0f;z-index:251658240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square"/>
          </v:shape>
        </w:pict>
      </w:r>
    </w:p>
    <w:p>
      <w:pPr>
        <w:spacing w:line="440" w:lineRule="exact"/>
        <w:rPr>
          <w:rFonts w:ascii="仿宋" w:hAnsi="仿宋" w:eastAsia="仿宋" w:cs="仿宋_GB2312"/>
          <w:sz w:val="28"/>
          <w:szCs w:val="28"/>
        </w:rPr>
      </w:pPr>
    </w:p>
    <w:p>
      <w:pPr>
        <w:spacing w:line="440" w:lineRule="exact"/>
        <w:rPr>
          <w:rFonts w:ascii="仿宋" w:hAnsi="仿宋" w:eastAsia="仿宋" w:cs="仿宋_GB2312"/>
          <w:sz w:val="28"/>
          <w:szCs w:val="28"/>
        </w:rPr>
      </w:pPr>
    </w:p>
    <w:p>
      <w:pPr>
        <w:spacing w:line="440" w:lineRule="exact"/>
        <w:rPr>
          <w:rFonts w:ascii="仿宋" w:hAnsi="仿宋" w:eastAsia="仿宋" w:cs="仿宋_GB2312"/>
          <w:sz w:val="28"/>
          <w:szCs w:val="28"/>
        </w:rPr>
      </w:pPr>
    </w:p>
    <w:p>
      <w:pPr>
        <w:spacing w:line="440" w:lineRule="exact"/>
        <w:rPr>
          <w:rFonts w:ascii="仿宋" w:hAnsi="仿宋" w:eastAsia="仿宋" w:cs="仿宋_GB2312"/>
          <w:sz w:val="28"/>
          <w:szCs w:val="28"/>
        </w:rPr>
      </w:pPr>
    </w:p>
    <w:p>
      <w:pPr>
        <w:spacing w:line="440" w:lineRule="exact"/>
        <w:rPr>
          <w:sz w:val="28"/>
          <w:szCs w:val="28"/>
        </w:rPr>
      </w:pPr>
    </w:p>
    <w:p>
      <w:pPr>
        <w:spacing w:line="440" w:lineRule="exac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字符"/>
    <w:basedOn w:val="4"/>
    <w:link w:val="3"/>
    <w:uiPriority w:val="99"/>
    <w:rPr>
      <w:sz w:val="18"/>
      <w:szCs w:val="18"/>
    </w:rPr>
  </w:style>
  <w:style w:type="character" w:customStyle="1" w:styleId="6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4</Pages>
  <Words>225</Words>
  <Characters>1287</Characters>
  <Lines>10</Lines>
  <Paragraphs>3</Paragraphs>
  <TotalTime>0</TotalTime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2023-01-11T03:29:00Z</dcterms:created>
  <dc:creator>Windows 用户</dc:creator>
  <cp:lastModifiedBy>DELL</cp:lastModifiedBy>
  <dcterms:modified xsi:type="dcterms:W3CDTF">2023-03-13T02:26:40Z</dcterms:modified>
  <dc:title>海口白沙门污水处理厂（二期）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